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8ABC4" w14:textId="77777777" w:rsidR="00615F0F" w:rsidRPr="00625B94" w:rsidRDefault="00BF075A" w:rsidP="00625B94">
      <w:pPr>
        <w:numPr>
          <w:ilvl w:val="0"/>
          <w:numId w:val="1"/>
        </w:numPr>
      </w:pPr>
      <w:bookmarkStart w:id="0" w:name="_GoBack"/>
      <w:bookmarkEnd w:id="0"/>
      <w:r w:rsidRPr="00625B94">
        <w:t>B. (2019, January). Clinical Guidelines for Transplant Medications. Retrieved January 15, 2021, from http://www.transplant.bc.ca/Documents/Health%20Professionals/Clinical%20guidelines/Clinical%20Guidelines%20for%20TRANSPLANT%20MEDICATIONS.pdf</w:t>
      </w:r>
    </w:p>
    <w:p w14:paraId="3EE27B1C" w14:textId="08C757A2" w:rsidR="00615F0F" w:rsidRPr="00625B94" w:rsidRDefault="00BF075A" w:rsidP="00625B94">
      <w:pPr>
        <w:numPr>
          <w:ilvl w:val="0"/>
          <w:numId w:val="1"/>
        </w:numPr>
      </w:pPr>
      <w:r w:rsidRPr="00625B94">
        <w:t>Jennings D.L., &amp; Johnson H.J. (2020). Solid organ transplantation. </w:t>
      </w:r>
      <w:proofErr w:type="spellStart"/>
      <w:r w:rsidRPr="00625B94">
        <w:t>DiPiro</w:t>
      </w:r>
      <w:proofErr w:type="spellEnd"/>
      <w:r w:rsidRPr="00625B94">
        <w:t xml:space="preserve"> J.T., &amp; Yee G.C., &amp; Posey L, &amp; Haines S.T., &amp; Nolin T.D., &amp; </w:t>
      </w:r>
      <w:proofErr w:type="spellStart"/>
      <w:r w:rsidRPr="00625B94">
        <w:t>Ellingrod</w:t>
      </w:r>
      <w:proofErr w:type="spellEnd"/>
      <w:r w:rsidRPr="00625B94">
        <w:t xml:space="preserve"> V(Eds.), </w:t>
      </w:r>
      <w:r w:rsidRPr="00625B94">
        <w:rPr>
          <w:i/>
          <w:iCs/>
        </w:rPr>
        <w:t>Pharmacotherapy: A Pathophysiologic Approach, 11e</w:t>
      </w:r>
      <w:r w:rsidRPr="00625B94">
        <w:t xml:space="preserve">. McGraw-Hill. https://accesspharmacy-mhmedical-com.login.ezproxy.library.ualberta.ca/content.aspx?bookid=2577&amp;sectionid=237535684 </w:t>
      </w:r>
    </w:p>
    <w:p w14:paraId="1199B326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Southern Alberta Transplant Program. (2021). </w:t>
      </w:r>
      <w:r w:rsidRPr="00625B94">
        <w:rPr>
          <w:i/>
          <w:iCs/>
          <w:lang w:val="en-US"/>
        </w:rPr>
        <w:t>Immunosuppression in the Failing Kidney Transplant (Draft)</w:t>
      </w:r>
      <w:r w:rsidRPr="00625B94">
        <w:rPr>
          <w:lang w:val="en-US"/>
        </w:rPr>
        <w:t>. Alberta Health Services.</w:t>
      </w:r>
    </w:p>
    <w:p w14:paraId="507A6157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t>Miller, B. W., &amp; Brennan, D. C. (2020, January 9). </w:t>
      </w:r>
      <w:r w:rsidRPr="00625B94">
        <w:rPr>
          <w:i/>
          <w:iCs/>
        </w:rPr>
        <w:t>Kidney transplantation in adults: Management of the patient with a failed kidney transplant</w:t>
      </w:r>
      <w:r w:rsidRPr="00625B94">
        <w:t>. Retrieved January 17, 2021, from https://www.uptodate.com/contents/kidney-transplantation-in-adults-management-of-the-patient-with-a-failed-kidney-transplant.</w:t>
      </w:r>
    </w:p>
    <w:p w14:paraId="01F52AB7" w14:textId="77777777" w:rsidR="00615F0F" w:rsidRPr="00625B94" w:rsidRDefault="00BF075A" w:rsidP="00625B94">
      <w:pPr>
        <w:numPr>
          <w:ilvl w:val="0"/>
          <w:numId w:val="1"/>
        </w:numPr>
      </w:pPr>
      <w:proofErr w:type="spellStart"/>
      <w:r w:rsidRPr="00625B94">
        <w:t>Smak</w:t>
      </w:r>
      <w:proofErr w:type="spellEnd"/>
      <w:r w:rsidRPr="00625B94">
        <w:t xml:space="preserve"> </w:t>
      </w:r>
      <w:proofErr w:type="spellStart"/>
      <w:r w:rsidRPr="00625B94">
        <w:t>Gregoor</w:t>
      </w:r>
      <w:proofErr w:type="spellEnd"/>
      <w:r w:rsidRPr="00625B94">
        <w:t xml:space="preserve"> PJ, </w:t>
      </w:r>
      <w:proofErr w:type="spellStart"/>
      <w:r w:rsidRPr="00625B94">
        <w:t>Zietse</w:t>
      </w:r>
      <w:proofErr w:type="spellEnd"/>
      <w:r w:rsidRPr="00625B94">
        <w:t xml:space="preserve"> R, van </w:t>
      </w:r>
      <w:proofErr w:type="spellStart"/>
      <w:r w:rsidRPr="00625B94">
        <w:t>Saase</w:t>
      </w:r>
      <w:proofErr w:type="spellEnd"/>
      <w:r w:rsidRPr="00625B94">
        <w:t xml:space="preserve"> JL, et al. Immunosuppression should be stopped in patients with renal allograft failure. </w:t>
      </w:r>
      <w:proofErr w:type="spellStart"/>
      <w:r w:rsidRPr="00625B94">
        <w:t>Clin</w:t>
      </w:r>
      <w:proofErr w:type="spellEnd"/>
      <w:r w:rsidRPr="00625B94">
        <w:t xml:space="preserve"> Transplant 2001; 15:397.</w:t>
      </w:r>
    </w:p>
    <w:p w14:paraId="3574555F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>Miller, B. W., &amp; Brennan, D. C. (2020, January 09). Kidney transplantation in adults: Management of the patient with a failed kidney transplant. Retrieved January 17, 2021, from https://www.uptodate.com/contents/kidney-transplantation-in-adults-management-of-the-patient-with-a-failed-kidney-transplant</w:t>
      </w:r>
    </w:p>
    <w:p w14:paraId="4AFBDB68" w14:textId="6D096D32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C. (2014, May). Management of the Failing Kidney Transplant. Retrieved January 17, 2021, from </w:t>
      </w:r>
      <w:r w:rsidR="00625B94" w:rsidRPr="00625B94">
        <w:rPr>
          <w:lang w:val="en-US"/>
        </w:rPr>
        <w:t>https://bts.org.uk/wp-content/uploads/2016/09/13_BTS_Failing_Graft-1.pdf</w:t>
      </w:r>
    </w:p>
    <w:p w14:paraId="58888497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Solid CA, Foley RN, Gill JS, et al. Epoetin use and Kidney Disease Outcomes Quality Initiative hemoglobin targets in patients returning to dialysis with failed renal transplants. Kidney </w:t>
      </w:r>
      <w:proofErr w:type="spellStart"/>
      <w:r w:rsidRPr="00625B94">
        <w:rPr>
          <w:lang w:val="en-US"/>
        </w:rPr>
        <w:t>Int</w:t>
      </w:r>
      <w:proofErr w:type="spellEnd"/>
      <w:r w:rsidRPr="00625B94">
        <w:rPr>
          <w:lang w:val="en-US"/>
        </w:rPr>
        <w:t xml:space="preserve"> 2007; 71:425.</w:t>
      </w:r>
    </w:p>
    <w:p w14:paraId="085382C7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Gill JS, </w:t>
      </w:r>
      <w:proofErr w:type="spellStart"/>
      <w:r w:rsidRPr="00625B94">
        <w:rPr>
          <w:lang w:val="en-US"/>
        </w:rPr>
        <w:t>Abichandani</w:t>
      </w:r>
      <w:proofErr w:type="spellEnd"/>
      <w:r w:rsidRPr="00625B94">
        <w:rPr>
          <w:lang w:val="en-US"/>
        </w:rPr>
        <w:t xml:space="preserve"> R, </w:t>
      </w:r>
      <w:proofErr w:type="spellStart"/>
      <w:r w:rsidRPr="00625B94">
        <w:rPr>
          <w:lang w:val="en-US"/>
        </w:rPr>
        <w:t>Kausz</w:t>
      </w:r>
      <w:proofErr w:type="spellEnd"/>
      <w:r w:rsidRPr="00625B94">
        <w:rPr>
          <w:lang w:val="en-US"/>
        </w:rPr>
        <w:t xml:space="preserve"> AT, Pereira BJG: Mortality after kidney transplant failure: the impact of non-immunologic factors. Kidney </w:t>
      </w:r>
      <w:proofErr w:type="spellStart"/>
      <w:r w:rsidRPr="00625B94">
        <w:rPr>
          <w:lang w:val="en-US"/>
        </w:rPr>
        <w:t>Int</w:t>
      </w:r>
      <w:proofErr w:type="spellEnd"/>
      <w:r w:rsidRPr="00625B94">
        <w:rPr>
          <w:lang w:val="en-US"/>
        </w:rPr>
        <w:t xml:space="preserve"> 62:1875–1883, 2002</w:t>
      </w:r>
    </w:p>
    <w:p w14:paraId="06CCD1AE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Gill JS. Managing patients with a failed kidney transplant: how can we do better? </w:t>
      </w:r>
      <w:proofErr w:type="spellStart"/>
      <w:r w:rsidRPr="00625B94">
        <w:rPr>
          <w:lang w:val="en-US"/>
        </w:rPr>
        <w:t>Curr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Opin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Nephrol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Hypertens</w:t>
      </w:r>
      <w:proofErr w:type="spellEnd"/>
      <w:r w:rsidRPr="00625B94">
        <w:rPr>
          <w:lang w:val="en-US"/>
        </w:rPr>
        <w:t xml:space="preserve">. 2011 Nov;20(6):616-21. </w:t>
      </w:r>
      <w:proofErr w:type="spellStart"/>
      <w:r w:rsidRPr="00625B94">
        <w:rPr>
          <w:lang w:val="en-US"/>
        </w:rPr>
        <w:t>doi</w:t>
      </w:r>
      <w:proofErr w:type="spellEnd"/>
      <w:r w:rsidRPr="00625B94">
        <w:rPr>
          <w:lang w:val="en-US"/>
        </w:rPr>
        <w:t>: 10.1097/MNH.0b013e32834bd792. PMID: 21946163.</w:t>
      </w:r>
    </w:p>
    <w:p w14:paraId="7A94BB53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López Del Moral Cuesta, C., </w:t>
      </w:r>
      <w:proofErr w:type="spellStart"/>
      <w:r w:rsidRPr="00625B94">
        <w:rPr>
          <w:lang w:val="en-US"/>
        </w:rPr>
        <w:t>Guiral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Foz</w:t>
      </w:r>
      <w:proofErr w:type="spellEnd"/>
      <w:r w:rsidRPr="00625B94">
        <w:rPr>
          <w:lang w:val="en-US"/>
        </w:rPr>
        <w:t xml:space="preserve">, S., Gómez Pereda, D., Pérez </w:t>
      </w:r>
      <w:proofErr w:type="spellStart"/>
      <w:r w:rsidRPr="00625B94">
        <w:rPr>
          <w:lang w:val="en-US"/>
        </w:rPr>
        <w:t>Canga</w:t>
      </w:r>
      <w:proofErr w:type="spellEnd"/>
      <w:r w:rsidRPr="00625B94">
        <w:rPr>
          <w:lang w:val="en-US"/>
        </w:rPr>
        <w:t xml:space="preserve">, J. L., de Cos Gómez, M., </w:t>
      </w:r>
      <w:proofErr w:type="spellStart"/>
      <w:r w:rsidRPr="00625B94">
        <w:rPr>
          <w:lang w:val="en-US"/>
        </w:rPr>
        <w:t>Mazón</w:t>
      </w:r>
      <w:proofErr w:type="spellEnd"/>
      <w:r w:rsidRPr="00625B94">
        <w:rPr>
          <w:lang w:val="en-US"/>
        </w:rPr>
        <w:t xml:space="preserve"> Ruiz, J., García Santiago, A., </w:t>
      </w:r>
      <w:proofErr w:type="spellStart"/>
      <w:r w:rsidRPr="00625B94">
        <w:rPr>
          <w:lang w:val="en-US"/>
        </w:rPr>
        <w:t>Romón</w:t>
      </w:r>
      <w:proofErr w:type="spellEnd"/>
      <w:r w:rsidRPr="00625B94">
        <w:rPr>
          <w:lang w:val="en-US"/>
        </w:rPr>
        <w:t xml:space="preserve"> Alonso, J. I., Valero San </w:t>
      </w:r>
      <w:proofErr w:type="spellStart"/>
      <w:r w:rsidRPr="00625B94">
        <w:rPr>
          <w:lang w:val="en-US"/>
        </w:rPr>
        <w:t>Cecilio</w:t>
      </w:r>
      <w:proofErr w:type="spellEnd"/>
      <w:r w:rsidRPr="00625B94">
        <w:rPr>
          <w:lang w:val="en-US"/>
        </w:rPr>
        <w:t xml:space="preserve">, R., Rodrigo </w:t>
      </w:r>
      <w:proofErr w:type="spellStart"/>
      <w:r w:rsidRPr="00625B94">
        <w:rPr>
          <w:lang w:val="en-US"/>
        </w:rPr>
        <w:t>Calabia</w:t>
      </w:r>
      <w:proofErr w:type="spellEnd"/>
      <w:r w:rsidRPr="00625B94">
        <w:rPr>
          <w:lang w:val="en-US"/>
        </w:rPr>
        <w:t xml:space="preserve">, E., San Segundo </w:t>
      </w:r>
      <w:proofErr w:type="spellStart"/>
      <w:r w:rsidRPr="00625B94">
        <w:rPr>
          <w:lang w:val="en-US"/>
        </w:rPr>
        <w:t>Arribas</w:t>
      </w:r>
      <w:proofErr w:type="spellEnd"/>
      <w:r w:rsidRPr="00625B94">
        <w:rPr>
          <w:lang w:val="en-US"/>
        </w:rPr>
        <w:t xml:space="preserve">, D., </w:t>
      </w:r>
      <w:proofErr w:type="spellStart"/>
      <w:r w:rsidRPr="00625B94">
        <w:rPr>
          <w:lang w:val="en-US"/>
        </w:rPr>
        <w:t>López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Hoyos</w:t>
      </w:r>
      <w:proofErr w:type="spellEnd"/>
      <w:r w:rsidRPr="00625B94">
        <w:rPr>
          <w:lang w:val="en-US"/>
        </w:rPr>
        <w:t xml:space="preserve">, M., &amp; Ruiz San </w:t>
      </w:r>
      <w:proofErr w:type="spellStart"/>
      <w:r w:rsidRPr="00625B94">
        <w:rPr>
          <w:lang w:val="en-US"/>
        </w:rPr>
        <w:t>Millán</w:t>
      </w:r>
      <w:proofErr w:type="spellEnd"/>
      <w:r w:rsidRPr="00625B94">
        <w:rPr>
          <w:lang w:val="en-US"/>
        </w:rPr>
        <w:t xml:space="preserve">, J. C. (2020). Immunosuppression with Calcineurin Inhibitor after Renal Transplant Failure Inhibits </w:t>
      </w:r>
      <w:proofErr w:type="spellStart"/>
      <w:r w:rsidRPr="00625B94">
        <w:rPr>
          <w:lang w:val="en-US"/>
        </w:rPr>
        <w:t>Allosensitization</w:t>
      </w:r>
      <w:proofErr w:type="spellEnd"/>
      <w:r w:rsidRPr="00625B94">
        <w:rPr>
          <w:lang w:val="en-US"/>
        </w:rPr>
        <w:t xml:space="preserve">. </w:t>
      </w:r>
      <w:r w:rsidRPr="00625B94">
        <w:rPr>
          <w:i/>
          <w:iCs/>
          <w:lang w:val="en-US"/>
        </w:rPr>
        <w:t>Biomedicines</w:t>
      </w:r>
      <w:r w:rsidRPr="00625B94">
        <w:rPr>
          <w:lang w:val="en-US"/>
        </w:rPr>
        <w:t xml:space="preserve">, </w:t>
      </w:r>
      <w:r w:rsidRPr="00625B94">
        <w:rPr>
          <w:i/>
          <w:iCs/>
          <w:lang w:val="en-US"/>
        </w:rPr>
        <w:t>8</w:t>
      </w:r>
      <w:r w:rsidRPr="00625B94">
        <w:rPr>
          <w:lang w:val="en-US"/>
        </w:rPr>
        <w:t>(4), 72. https://doi.org/10.3390/biomedicines8040072</w:t>
      </w:r>
    </w:p>
    <w:p w14:paraId="36E36B6B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Guerra, G., </w:t>
      </w:r>
      <w:proofErr w:type="spellStart"/>
      <w:r w:rsidRPr="00625B94">
        <w:rPr>
          <w:lang w:val="en-US"/>
        </w:rPr>
        <w:t>Ciancio</w:t>
      </w:r>
      <w:proofErr w:type="spellEnd"/>
      <w:r w:rsidRPr="00625B94">
        <w:rPr>
          <w:lang w:val="en-US"/>
        </w:rPr>
        <w:t xml:space="preserve">, G., Gaynor, J. J., </w:t>
      </w:r>
      <w:proofErr w:type="spellStart"/>
      <w:r w:rsidRPr="00625B94">
        <w:rPr>
          <w:lang w:val="en-US"/>
        </w:rPr>
        <w:t>Zarak</w:t>
      </w:r>
      <w:proofErr w:type="spellEnd"/>
      <w:r w:rsidRPr="00625B94">
        <w:rPr>
          <w:lang w:val="en-US"/>
        </w:rPr>
        <w:t xml:space="preserve">, A., Brown, R., Hanson, L., </w:t>
      </w:r>
      <w:proofErr w:type="spellStart"/>
      <w:r w:rsidRPr="00625B94">
        <w:rPr>
          <w:lang w:val="en-US"/>
        </w:rPr>
        <w:t>Sageshima</w:t>
      </w:r>
      <w:proofErr w:type="spellEnd"/>
      <w:r w:rsidRPr="00625B94">
        <w:rPr>
          <w:lang w:val="en-US"/>
        </w:rPr>
        <w:t xml:space="preserve">, J., Roth, D., Chen, L., </w:t>
      </w:r>
      <w:proofErr w:type="spellStart"/>
      <w:r w:rsidRPr="00625B94">
        <w:rPr>
          <w:lang w:val="en-US"/>
        </w:rPr>
        <w:t>Kupin</w:t>
      </w:r>
      <w:proofErr w:type="spellEnd"/>
      <w:r w:rsidRPr="00625B94">
        <w:rPr>
          <w:lang w:val="en-US"/>
        </w:rPr>
        <w:t xml:space="preserve">, W., </w:t>
      </w:r>
      <w:proofErr w:type="spellStart"/>
      <w:r w:rsidRPr="00625B94">
        <w:rPr>
          <w:lang w:val="en-US"/>
        </w:rPr>
        <w:t>Tueros</w:t>
      </w:r>
      <w:proofErr w:type="spellEnd"/>
      <w:r w:rsidRPr="00625B94">
        <w:rPr>
          <w:lang w:val="en-US"/>
        </w:rPr>
        <w:t xml:space="preserve">, L., Ruiz, P., Livingstone, A. S., &amp; Burke, G. W., 3rd (2011). Randomized trial of immunosuppressive regimens in renal transplantation. </w:t>
      </w:r>
      <w:r w:rsidRPr="00625B94">
        <w:rPr>
          <w:i/>
          <w:iCs/>
          <w:lang w:val="en-US"/>
        </w:rPr>
        <w:t xml:space="preserve">Journal of the American Society of </w:t>
      </w:r>
      <w:proofErr w:type="gramStart"/>
      <w:r w:rsidRPr="00625B94">
        <w:rPr>
          <w:i/>
          <w:iCs/>
          <w:lang w:val="en-US"/>
        </w:rPr>
        <w:t>Nephrology :</w:t>
      </w:r>
      <w:proofErr w:type="gramEnd"/>
      <w:r w:rsidRPr="00625B94">
        <w:rPr>
          <w:i/>
          <w:iCs/>
          <w:lang w:val="en-US"/>
        </w:rPr>
        <w:t xml:space="preserve"> JASN</w:t>
      </w:r>
      <w:r w:rsidRPr="00625B94">
        <w:rPr>
          <w:lang w:val="en-US"/>
        </w:rPr>
        <w:t xml:space="preserve">, </w:t>
      </w:r>
      <w:r w:rsidRPr="00625B94">
        <w:rPr>
          <w:i/>
          <w:iCs/>
          <w:lang w:val="en-US"/>
        </w:rPr>
        <w:t>22</w:t>
      </w:r>
      <w:r w:rsidRPr="00625B94">
        <w:rPr>
          <w:lang w:val="en-US"/>
        </w:rPr>
        <w:t>(9), 1758–1768. https://doi.org/10.1681/ASN.2011010006</w:t>
      </w:r>
    </w:p>
    <w:p w14:paraId="4D9CC2E9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Wiebe C, Rush DN, Nevins TE, </w:t>
      </w:r>
      <w:proofErr w:type="spellStart"/>
      <w:r w:rsidRPr="00625B94">
        <w:rPr>
          <w:lang w:val="en-US"/>
        </w:rPr>
        <w:t>Birk</w:t>
      </w:r>
      <w:proofErr w:type="spellEnd"/>
      <w:r w:rsidRPr="00625B94">
        <w:rPr>
          <w:lang w:val="en-US"/>
        </w:rPr>
        <w:t xml:space="preserve"> PE, </w:t>
      </w:r>
      <w:proofErr w:type="spellStart"/>
      <w:r w:rsidRPr="00625B94">
        <w:rPr>
          <w:lang w:val="en-US"/>
        </w:rPr>
        <w:t>Blydt</w:t>
      </w:r>
      <w:proofErr w:type="spellEnd"/>
      <w:r w:rsidRPr="00625B94">
        <w:rPr>
          <w:lang w:val="en-US"/>
        </w:rPr>
        <w:t xml:space="preserve">-Hansen T, Gibson IW, Goldberg A, Ho J, </w:t>
      </w:r>
      <w:proofErr w:type="spellStart"/>
      <w:r w:rsidRPr="00625B94">
        <w:rPr>
          <w:lang w:val="en-US"/>
        </w:rPr>
        <w:t>Karpinski</w:t>
      </w:r>
      <w:proofErr w:type="spellEnd"/>
      <w:r w:rsidRPr="00625B94">
        <w:rPr>
          <w:lang w:val="en-US"/>
        </w:rPr>
        <w:t xml:space="preserve"> M, </w:t>
      </w:r>
      <w:proofErr w:type="spellStart"/>
      <w:r w:rsidRPr="00625B94">
        <w:rPr>
          <w:lang w:val="en-US"/>
        </w:rPr>
        <w:t>Pochinco</w:t>
      </w:r>
      <w:proofErr w:type="spellEnd"/>
      <w:r w:rsidRPr="00625B94">
        <w:rPr>
          <w:lang w:val="en-US"/>
        </w:rPr>
        <w:t xml:space="preserve"> D, Sharma A, </w:t>
      </w:r>
      <w:proofErr w:type="spellStart"/>
      <w:r w:rsidRPr="00625B94">
        <w:rPr>
          <w:lang w:val="en-US"/>
        </w:rPr>
        <w:t>Storsley</w:t>
      </w:r>
      <w:proofErr w:type="spellEnd"/>
      <w:r w:rsidRPr="00625B94">
        <w:rPr>
          <w:lang w:val="en-US"/>
        </w:rPr>
        <w:t xml:space="preserve"> L, </w:t>
      </w:r>
      <w:proofErr w:type="spellStart"/>
      <w:r w:rsidRPr="00625B94">
        <w:rPr>
          <w:lang w:val="en-US"/>
        </w:rPr>
        <w:t>Matas</w:t>
      </w:r>
      <w:proofErr w:type="spellEnd"/>
      <w:r w:rsidRPr="00625B94">
        <w:rPr>
          <w:lang w:val="en-US"/>
        </w:rPr>
        <w:t xml:space="preserve"> AJ, Nickerson PW. Class II </w:t>
      </w:r>
      <w:proofErr w:type="spellStart"/>
      <w:r w:rsidRPr="00625B94">
        <w:rPr>
          <w:lang w:val="en-US"/>
        </w:rPr>
        <w:t>Eplet</w:t>
      </w:r>
      <w:proofErr w:type="spellEnd"/>
      <w:r w:rsidRPr="00625B94">
        <w:rPr>
          <w:lang w:val="en-US"/>
        </w:rPr>
        <w:t xml:space="preserve"> Mismatch Modulates Tacrolimus Trough Levels Required to Prevent Donor-Specific </w:t>
      </w:r>
      <w:r w:rsidRPr="00625B94">
        <w:rPr>
          <w:lang w:val="en-US"/>
        </w:rPr>
        <w:lastRenderedPageBreak/>
        <w:t xml:space="preserve">Antibody Development. J Am </w:t>
      </w:r>
      <w:proofErr w:type="spellStart"/>
      <w:r w:rsidRPr="00625B94">
        <w:rPr>
          <w:lang w:val="en-US"/>
        </w:rPr>
        <w:t>Soc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Nephrol</w:t>
      </w:r>
      <w:proofErr w:type="spellEnd"/>
      <w:r w:rsidRPr="00625B94">
        <w:rPr>
          <w:lang w:val="en-US"/>
        </w:rPr>
        <w:t xml:space="preserve">. 2017 Nov;28(11):3353-3362. </w:t>
      </w:r>
      <w:proofErr w:type="spellStart"/>
      <w:r w:rsidRPr="00625B94">
        <w:rPr>
          <w:lang w:val="en-US"/>
        </w:rPr>
        <w:t>doi</w:t>
      </w:r>
      <w:proofErr w:type="spellEnd"/>
      <w:r w:rsidRPr="00625B94">
        <w:rPr>
          <w:lang w:val="en-US"/>
        </w:rPr>
        <w:t xml:space="preserve">: 10.1681/ASN.2017030287. </w:t>
      </w:r>
      <w:proofErr w:type="spellStart"/>
      <w:r w:rsidRPr="00625B94">
        <w:rPr>
          <w:lang w:val="en-US"/>
        </w:rPr>
        <w:t>Epub</w:t>
      </w:r>
      <w:proofErr w:type="spellEnd"/>
      <w:r w:rsidRPr="00625B94">
        <w:rPr>
          <w:lang w:val="en-US"/>
        </w:rPr>
        <w:t xml:space="preserve"> 2017 Jul 20. PMID: 28729289; PMCID: PMC5661295.</w:t>
      </w:r>
    </w:p>
    <w:p w14:paraId="567E467E" w14:textId="77777777" w:rsidR="00615F0F" w:rsidRPr="00625B94" w:rsidRDefault="00BF075A" w:rsidP="00625B94">
      <w:pPr>
        <w:numPr>
          <w:ilvl w:val="0"/>
          <w:numId w:val="1"/>
        </w:numPr>
      </w:pPr>
      <w:r w:rsidRPr="00625B94">
        <w:rPr>
          <w:lang w:val="en-US"/>
        </w:rPr>
        <w:t xml:space="preserve">Marco </w:t>
      </w:r>
      <w:proofErr w:type="spellStart"/>
      <w:r w:rsidRPr="00625B94">
        <w:rPr>
          <w:lang w:val="en-US"/>
        </w:rPr>
        <w:t>Fiorentino</w:t>
      </w:r>
      <w:proofErr w:type="spellEnd"/>
      <w:r w:rsidRPr="00625B94">
        <w:rPr>
          <w:lang w:val="en-US"/>
        </w:rPr>
        <w:t xml:space="preserve">, Pasquale Gallo, </w:t>
      </w:r>
      <w:proofErr w:type="spellStart"/>
      <w:r w:rsidRPr="00625B94">
        <w:rPr>
          <w:lang w:val="en-US"/>
        </w:rPr>
        <w:t>Marica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Giliberti</w:t>
      </w:r>
      <w:proofErr w:type="spellEnd"/>
      <w:r w:rsidRPr="00625B94">
        <w:rPr>
          <w:lang w:val="en-US"/>
        </w:rPr>
        <w:t xml:space="preserve">, </w:t>
      </w:r>
      <w:proofErr w:type="spellStart"/>
      <w:r w:rsidRPr="00625B94">
        <w:rPr>
          <w:lang w:val="en-US"/>
        </w:rPr>
        <w:t>Vincenza</w:t>
      </w:r>
      <w:proofErr w:type="spellEnd"/>
      <w:r w:rsidRPr="00625B94">
        <w:rPr>
          <w:lang w:val="en-US"/>
        </w:rPr>
        <w:t xml:space="preserve"> </w:t>
      </w:r>
      <w:proofErr w:type="spellStart"/>
      <w:r w:rsidRPr="00625B94">
        <w:rPr>
          <w:lang w:val="en-US"/>
        </w:rPr>
        <w:t>Colucci</w:t>
      </w:r>
      <w:proofErr w:type="spellEnd"/>
      <w:r w:rsidRPr="00625B94">
        <w:rPr>
          <w:lang w:val="en-US"/>
        </w:rPr>
        <w:t xml:space="preserve">, Antonio </w:t>
      </w:r>
      <w:proofErr w:type="spellStart"/>
      <w:r w:rsidRPr="00625B94">
        <w:rPr>
          <w:lang w:val="en-US"/>
        </w:rPr>
        <w:t>Schena</w:t>
      </w:r>
      <w:proofErr w:type="spellEnd"/>
      <w:r w:rsidRPr="00625B94">
        <w:rPr>
          <w:lang w:val="en-US"/>
        </w:rPr>
        <w:t xml:space="preserve">, Giovanni Stallone, Loreto Gesualdo, Giuseppe Castellano, Management of patients with a failed kidney transplant: what should we do?, </w:t>
      </w:r>
      <w:r w:rsidRPr="00625B94">
        <w:rPr>
          <w:i/>
          <w:iCs/>
          <w:lang w:val="en-US"/>
        </w:rPr>
        <w:t>Clinical Kidney Journal</w:t>
      </w:r>
      <w:r w:rsidRPr="00625B94">
        <w:rPr>
          <w:lang w:val="en-US"/>
        </w:rPr>
        <w:t xml:space="preserve">, 2020;, sfaa094, </w:t>
      </w:r>
    </w:p>
    <w:p w14:paraId="0C8DF1F9" w14:textId="77777777" w:rsidR="00625B94" w:rsidRPr="00625B94" w:rsidRDefault="00625B94" w:rsidP="00625B94">
      <w:pPr>
        <w:ind w:left="720"/>
      </w:pPr>
    </w:p>
    <w:p w14:paraId="15ECEAAA" w14:textId="77777777" w:rsidR="00625B94" w:rsidRDefault="00625B94"/>
    <w:sectPr w:rsidR="00625B94" w:rsidSect="00B376F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EE320" w14:textId="77777777" w:rsidR="00557BCC" w:rsidRDefault="00557BCC" w:rsidP="00625B94">
      <w:r>
        <w:separator/>
      </w:r>
    </w:p>
  </w:endnote>
  <w:endnote w:type="continuationSeparator" w:id="0">
    <w:p w14:paraId="4889D813" w14:textId="77777777" w:rsidR="00557BCC" w:rsidRDefault="00557BCC" w:rsidP="0062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D565C" w14:textId="77777777" w:rsidR="00557BCC" w:rsidRDefault="00557BCC" w:rsidP="00625B94">
      <w:r>
        <w:separator/>
      </w:r>
    </w:p>
  </w:footnote>
  <w:footnote w:type="continuationSeparator" w:id="0">
    <w:p w14:paraId="68FE505C" w14:textId="77777777" w:rsidR="00557BCC" w:rsidRDefault="00557BCC" w:rsidP="0062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BE1" w14:textId="3CBD6646" w:rsidR="00625B94" w:rsidRDefault="00625B9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0971EE" wp14:editId="7BBA103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D3D2DB" w14:textId="54E238D8" w:rsidR="00625B94" w:rsidRDefault="00557BC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25B94">
                                <w:rPr>
                                  <w:caps/>
                                  <w:color w:val="FFFFFF" w:themeColor="background1"/>
                                </w:rPr>
                                <w:t>PODCAST REFERENCE LIST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90971E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DCfZtx3wAAAAkBAAAPAAAAAAAAAAAAAAAAAO0EAABkcnMvZG93bnJl&#10;di54bWxQSwUGAAAAAAQABADzAAAA+QUAAAAA&#10;" o:allowoverlap="f" fillcolor="#4472c4 [3204]" stroked="f" strokeweight="1pt">
              <v:textbox style="mso-fit-shape-to-text:t">
                <w:txbxContent>
                  <w:p w14:paraId="08D3D2DB" w14:textId="54E238D8" w:rsidR="00625B94" w:rsidRDefault="00625B9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>PODCAST REFERENCE LIST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F13"/>
    <w:multiLevelType w:val="hybridMultilevel"/>
    <w:tmpl w:val="1F988FF4"/>
    <w:lvl w:ilvl="0" w:tplc="14FC899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40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44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06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E1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CAC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24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00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64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F299D"/>
    <w:multiLevelType w:val="hybridMultilevel"/>
    <w:tmpl w:val="37120410"/>
    <w:lvl w:ilvl="0" w:tplc="26C6F0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623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27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62A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6C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AF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25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8C5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5E2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B22E2"/>
    <w:multiLevelType w:val="hybridMultilevel"/>
    <w:tmpl w:val="D7AEBC58"/>
    <w:lvl w:ilvl="0" w:tplc="19089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46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E09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EE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AB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E0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23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63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666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94"/>
    <w:rsid w:val="001A7059"/>
    <w:rsid w:val="00557BCC"/>
    <w:rsid w:val="00615F0F"/>
    <w:rsid w:val="00625B94"/>
    <w:rsid w:val="00B376F3"/>
    <w:rsid w:val="00BF075A"/>
    <w:rsid w:val="00F3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843E4"/>
  <w15:chartTrackingRefBased/>
  <w15:docId w15:val="{C5334EC6-2A8F-E245-B787-6A5558E7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B94"/>
  </w:style>
  <w:style w:type="paragraph" w:styleId="Footer">
    <w:name w:val="footer"/>
    <w:basedOn w:val="Normal"/>
    <w:link w:val="FooterChar"/>
    <w:uiPriority w:val="99"/>
    <w:unhideWhenUsed/>
    <w:rsid w:val="00625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B94"/>
  </w:style>
  <w:style w:type="character" w:styleId="Hyperlink">
    <w:name w:val="Hyperlink"/>
    <w:basedOn w:val="DefaultParagraphFont"/>
    <w:uiPriority w:val="99"/>
    <w:unhideWhenUsed/>
    <w:rsid w:val="00625B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9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92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8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3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5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1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1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55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47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198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6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495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PODCAST REFERENCE LIST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PODCAST REFERENCE LIST</dc:title>
  <dc:subject/>
  <dc:creator>Negar Golbar</dc:creator>
  <cp:keywords/>
  <dc:description/>
  <cp:lastModifiedBy>Windows User</cp:lastModifiedBy>
  <cp:revision>2</cp:revision>
  <dcterms:created xsi:type="dcterms:W3CDTF">2021-05-25T16:56:00Z</dcterms:created>
  <dcterms:modified xsi:type="dcterms:W3CDTF">2021-05-25T16:56:00Z</dcterms:modified>
</cp:coreProperties>
</file>